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1D35" w14:textId="439A58CA" w:rsidR="00D76ACB" w:rsidRPr="00063655" w:rsidRDefault="00993D34" w:rsidP="00063655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4F5DB89E">
            <wp:simplePos x="0" y="0"/>
            <wp:positionH relativeFrom="page">
              <wp:posOffset>7054850</wp:posOffset>
            </wp:positionH>
            <wp:positionV relativeFrom="paragraph">
              <wp:posOffset>-82550</wp:posOffset>
            </wp:positionV>
            <wp:extent cx="819150" cy="825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59902" w14:textId="7F8B9688"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14:paraId="41C244CF" w14:textId="3800E28B"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14:paraId="14FFB0D0" w14:textId="77777777" w:rsidR="00063655" w:rsidRPr="00063655" w:rsidRDefault="00063655" w:rsidP="00993D34">
      <w:pPr>
        <w:spacing w:before="1"/>
        <w:ind w:left="720" w:right="960" w:firstLine="810"/>
        <w:jc w:val="center"/>
        <w:rPr>
          <w:b/>
          <w:sz w:val="12"/>
          <w:szCs w:val="12"/>
        </w:rPr>
      </w:pP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996BCE" w14:paraId="7A86DFC3" w14:textId="77777777" w:rsidTr="00996BCE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996BCE" w:rsidRDefault="00996BCE" w:rsidP="00996BCE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  <w:vAlign w:val="center"/>
          </w:tcPr>
          <w:p w14:paraId="3FA3B6B4" w14:textId="7DA27230" w:rsidR="00996BCE" w:rsidRPr="00CB3A12" w:rsidRDefault="00996BCE" w:rsidP="00996BC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A12">
              <w:t>Howell, Byrd, Rodgers, McCarter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996BCE" w:rsidRDefault="00996BCE" w:rsidP="00996BCE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  <w:vAlign w:val="center"/>
          </w:tcPr>
          <w:p w14:paraId="02D81E50" w14:textId="233926FB" w:rsidR="00996BCE" w:rsidRDefault="00996BCE" w:rsidP="00996BC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1st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996BCE" w:rsidRDefault="00996BCE" w:rsidP="00996BCE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  <w:vAlign w:val="center"/>
          </w:tcPr>
          <w:p w14:paraId="4A56AF10" w14:textId="663670A6" w:rsidR="00996BCE" w:rsidRDefault="00996BCE" w:rsidP="00996BC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B3A12">
              <w:rPr>
                <w:rFonts w:ascii="Times New Roman"/>
                <w:sz w:val="28"/>
                <w:szCs w:val="18"/>
              </w:rPr>
              <w:t>Math</w:t>
            </w:r>
          </w:p>
        </w:tc>
      </w:tr>
      <w:tr w:rsidR="00996BCE" w14:paraId="2C9E768E" w14:textId="77777777" w:rsidTr="00BF1E93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08FE6573" w:rsidR="00996BCE" w:rsidRDefault="00996BCE" w:rsidP="00996BCE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Weeks of</w:t>
            </w:r>
          </w:p>
        </w:tc>
        <w:tc>
          <w:tcPr>
            <w:tcW w:w="4051" w:type="dxa"/>
            <w:vAlign w:val="center"/>
          </w:tcPr>
          <w:p w14:paraId="62F09FEF" w14:textId="4607F18B" w:rsidR="00996BCE" w:rsidRDefault="00F63747" w:rsidP="00BF1E93">
            <w:pPr>
              <w:pStyle w:val="TableParagraph"/>
              <w:spacing w:line="259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24"/>
                <w:szCs w:val="18"/>
              </w:rPr>
              <w:t>September 27</w:t>
            </w:r>
            <w:r w:rsidR="00996BCE" w:rsidRPr="00CB3A12">
              <w:rPr>
                <w:rFonts w:ascii="Times New Roman"/>
                <w:sz w:val="24"/>
                <w:szCs w:val="18"/>
              </w:rPr>
              <w:t>, 2021</w:t>
            </w:r>
            <w:r>
              <w:rPr>
                <w:rFonts w:ascii="Times New Roman"/>
                <w:sz w:val="24"/>
                <w:szCs w:val="18"/>
              </w:rPr>
              <w:t>- October 1, 2021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996BCE" w:rsidRDefault="00996BCE" w:rsidP="00996BCE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  <w:vAlign w:val="center"/>
          </w:tcPr>
          <w:p w14:paraId="2DC11D81" w14:textId="60058771" w:rsidR="00996BCE" w:rsidRDefault="001F21B1" w:rsidP="00996BCE">
            <w:pPr>
              <w:pStyle w:val="TableParagraph"/>
              <w:spacing w:line="259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24"/>
                <w:szCs w:val="18"/>
              </w:rPr>
              <w:t>Topic 2</w:t>
            </w:r>
            <w:bookmarkStart w:id="0" w:name="_GoBack"/>
            <w:bookmarkEnd w:id="0"/>
          </w:p>
        </w:tc>
        <w:tc>
          <w:tcPr>
            <w:tcW w:w="1439" w:type="dxa"/>
            <w:shd w:val="clear" w:color="auto" w:fill="DEEAF6"/>
          </w:tcPr>
          <w:p w14:paraId="6495AA70" w14:textId="77777777" w:rsidR="00996BCE" w:rsidRDefault="00996BCE" w:rsidP="00996BCE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5CB87CF4" w14:textId="61C0798F" w:rsidR="00996BCE" w:rsidRDefault="00996BCE" w:rsidP="00996BCE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</w:p>
        </w:tc>
      </w:tr>
    </w:tbl>
    <w:p w14:paraId="5780CC98" w14:textId="77777777" w:rsidR="00D76ACB" w:rsidRPr="00063655" w:rsidRDefault="00D76ACB">
      <w:pPr>
        <w:spacing w:before="10" w:after="1"/>
        <w:rPr>
          <w:b/>
          <w:sz w:val="12"/>
          <w:szCs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5ECE6766"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14:paraId="08AEFCC9" w14:textId="77777777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5418D388" w14:textId="43C9B0D2" w:rsidR="009D723A" w:rsidRPr="00063655" w:rsidRDefault="00301358" w:rsidP="00290D59">
            <w:pPr>
              <w:pStyle w:val="TableParagraph"/>
              <w:spacing w:before="9" w:line="226" w:lineRule="exact"/>
              <w:rPr>
                <w:sz w:val="18"/>
                <w:szCs w:val="18"/>
              </w:rPr>
            </w:pPr>
            <w:r w:rsidRPr="00063655">
              <w:rPr>
                <w:b/>
                <w:bCs/>
                <w:sz w:val="18"/>
                <w:szCs w:val="18"/>
              </w:rPr>
              <w:t>Cultural Context</w:t>
            </w:r>
            <w:r w:rsidR="000B4D9C" w:rsidRPr="00063655">
              <w:rPr>
                <w:b/>
                <w:bCs/>
                <w:sz w:val="18"/>
                <w:szCs w:val="18"/>
              </w:rPr>
              <w:t xml:space="preserve"> </w:t>
            </w:r>
            <w:r w:rsidR="00E85E27" w:rsidRPr="00063655">
              <w:rPr>
                <w:b/>
                <w:bCs/>
                <w:sz w:val="18"/>
                <w:szCs w:val="18"/>
              </w:rPr>
              <w:t>Differentiation</w:t>
            </w:r>
            <w:r w:rsidRPr="00063655">
              <w:rPr>
                <w:b/>
                <w:bCs/>
                <w:sz w:val="18"/>
                <w:szCs w:val="18"/>
              </w:rPr>
              <w:t xml:space="preserve">: </w:t>
            </w:r>
            <w:r w:rsidRPr="00063655">
              <w:rPr>
                <w:sz w:val="18"/>
                <w:szCs w:val="18"/>
              </w:rPr>
              <w:t>Overarching lesson design based on student’s individual needs and learning styles. The teacher should consider and honor the unique cultural differences of the student popula</w:t>
            </w:r>
            <w:r w:rsidR="009D723A" w:rsidRPr="00063655">
              <w:rPr>
                <w:sz w:val="18"/>
                <w:szCs w:val="18"/>
              </w:rPr>
              <w:t>tion when selecting content to ensure that</w:t>
            </w:r>
            <w:r w:rsidRPr="00063655">
              <w:rPr>
                <w:sz w:val="18"/>
                <w:szCs w:val="18"/>
              </w:rPr>
              <w:t xml:space="preserve"> every learner is able to access </w:t>
            </w:r>
            <w:r w:rsidR="009D723A" w:rsidRPr="00063655">
              <w:rPr>
                <w:sz w:val="18"/>
                <w:szCs w:val="18"/>
              </w:rPr>
              <w:t xml:space="preserve">the </w:t>
            </w:r>
            <w:r w:rsidRPr="00063655">
              <w:rPr>
                <w:sz w:val="18"/>
                <w:szCs w:val="18"/>
              </w:rPr>
              <w:t>grade level curriculum and resources.</w:t>
            </w:r>
            <w:r w:rsidR="009D723A" w:rsidRPr="00063655">
              <w:rPr>
                <w:sz w:val="18"/>
                <w:szCs w:val="18"/>
              </w:rPr>
              <w:t xml:space="preserve">  While lesson planning, please consider and apply following the </w:t>
            </w:r>
            <w:r w:rsidR="009D723A" w:rsidRPr="00063655">
              <w:rPr>
                <w:b/>
                <w:sz w:val="18"/>
                <w:szCs w:val="18"/>
              </w:rPr>
              <w:t>Universal Design to Learning</w:t>
            </w:r>
            <w:r w:rsidR="009D723A" w:rsidRPr="00063655">
              <w:rPr>
                <w:sz w:val="18"/>
                <w:szCs w:val="18"/>
              </w:rPr>
              <w:t xml:space="preserve"> </w:t>
            </w:r>
            <w:r w:rsidR="009D723A" w:rsidRPr="00063655">
              <w:rPr>
                <w:b/>
                <w:sz w:val="18"/>
                <w:szCs w:val="18"/>
              </w:rPr>
              <w:t>(UDL)</w:t>
            </w:r>
            <w:r w:rsidR="009D723A" w:rsidRPr="00063655">
              <w:rPr>
                <w:sz w:val="18"/>
                <w:szCs w:val="18"/>
              </w:rPr>
              <w:t xml:space="preserve"> principals listed below to ensure the use of a variety of strategies and resources to help meet diverse learning needs, improve accessibility to learning opportunitie</w:t>
            </w:r>
            <w:r w:rsidR="00063655" w:rsidRPr="00063655">
              <w:rPr>
                <w:sz w:val="18"/>
                <w:szCs w:val="18"/>
              </w:rPr>
              <w:t xml:space="preserve">s, and increase student success.  You can visit the National Center on Universal Design for Learning website at </w:t>
            </w:r>
            <w:hyperlink r:id="rId12" w:history="1">
              <w:r w:rsidR="00063655" w:rsidRPr="00063655">
                <w:rPr>
                  <w:rStyle w:val="Hyperlink"/>
                  <w:sz w:val="18"/>
                  <w:szCs w:val="18"/>
                </w:rPr>
                <w:t>https://www.cast.org/impact/universal-design-for-learning-udl</w:t>
              </w:r>
            </w:hyperlink>
            <w:r w:rsidR="00063655" w:rsidRPr="00063655">
              <w:rPr>
                <w:sz w:val="18"/>
                <w:szCs w:val="18"/>
              </w:rPr>
              <w:t xml:space="preserve"> to find more information resources and examples.</w:t>
            </w:r>
          </w:p>
          <w:p w14:paraId="4743C706" w14:textId="5F4D8A3F" w:rsidR="00290D59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I. PROVIDE M</w:t>
            </w:r>
            <w:r w:rsidR="00290D59" w:rsidRPr="00063655">
              <w:rPr>
                <w:b/>
                <w:sz w:val="18"/>
                <w:szCs w:val="18"/>
              </w:rPr>
              <w:t xml:space="preserve">ULTIPLE MEANS OF REPRESENTATION - </w:t>
            </w:r>
            <w:r w:rsidRPr="00063655">
              <w:rPr>
                <w:sz w:val="18"/>
                <w:szCs w:val="18"/>
              </w:rPr>
              <w:t>Present information and content in different ways</w:t>
            </w:r>
          </w:p>
          <w:p w14:paraId="7E95F6F7" w14:textId="4B6044FF" w:rsidR="009D723A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II. PROVIDE MULTIPLE</w:t>
            </w:r>
            <w:r w:rsidR="00290D59" w:rsidRPr="00063655">
              <w:rPr>
                <w:b/>
                <w:sz w:val="18"/>
                <w:szCs w:val="18"/>
              </w:rPr>
              <w:t xml:space="preserve"> MEANS OF ACTION AND EXPRESSION - </w:t>
            </w:r>
            <w:r w:rsidRPr="00063655">
              <w:rPr>
                <w:sz w:val="18"/>
                <w:szCs w:val="18"/>
              </w:rPr>
              <w:t>Differentiate the ways that students can express what they know</w:t>
            </w:r>
          </w:p>
          <w:p w14:paraId="38CF6DAB" w14:textId="4AEE83A0" w:rsidR="00FC4338" w:rsidRPr="007010B9" w:rsidRDefault="009D723A" w:rsidP="00290D59">
            <w:pPr>
              <w:pStyle w:val="TableParagraph"/>
              <w:spacing w:before="9" w:line="226" w:lineRule="exact"/>
              <w:rPr>
                <w:sz w:val="20"/>
                <w:szCs w:val="20"/>
              </w:rPr>
            </w:pPr>
            <w:r w:rsidRPr="00063655">
              <w:rPr>
                <w:b/>
                <w:sz w:val="18"/>
                <w:szCs w:val="18"/>
              </w:rPr>
              <w:t>PRINCIPLE III. PROVIDE MULTIPLE MEANS OF ENGAGEMENT</w:t>
            </w:r>
            <w:r w:rsidR="00290D59" w:rsidRPr="00063655">
              <w:rPr>
                <w:sz w:val="18"/>
                <w:szCs w:val="18"/>
              </w:rPr>
              <w:t xml:space="preserve"> - </w:t>
            </w:r>
            <w:r w:rsidRPr="00063655">
              <w:rPr>
                <w:sz w:val="18"/>
                <w:szCs w:val="18"/>
              </w:rPr>
              <w:t>Stimulate interest and motivation for learning</w:t>
            </w:r>
          </w:p>
        </w:tc>
      </w:tr>
      <w:tr w:rsidR="00B71CC5" w14:paraId="1C53CE71" w14:textId="77777777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665C2B06" w14:textId="77777777"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14:paraId="3C245F52" w14:textId="65D27284"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14:paraId="612D461F" w14:textId="77777777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14:paraId="20E81018" w14:textId="5D9E09C1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then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14:paraId="5A699E62" w14:textId="6981F958"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 xml:space="preserve">accessed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579F1112"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14:paraId="67AABE4F" w14:textId="77777777"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14:paraId="69AB3732" w14:textId="77777777" w:rsidTr="00A156E0">
        <w:trPr>
          <w:trHeight w:val="500"/>
        </w:trPr>
        <w:tc>
          <w:tcPr>
            <w:tcW w:w="1621" w:type="dxa"/>
            <w:vMerge/>
          </w:tcPr>
          <w:p w14:paraId="5623948C" w14:textId="6CA9762F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  <w:vAlign w:val="center"/>
          </w:tcPr>
          <w:p w14:paraId="399C3804" w14:textId="63C6BFA8" w:rsidR="00B71CC5" w:rsidRDefault="00B71CC5" w:rsidP="00A156E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454EE2C5" w14:textId="77777777" w:rsidR="00B71CC5" w:rsidRDefault="003621B1" w:rsidP="00A156E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621B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1.RA.A.1 (1.OA.A.1) Use addition and subtraction within 20 to solve problems. 1.R.A.A.4 ( 1.OA.D.8) Determine the unknown whole number in an addition or subtraction equation relating three whole numbers.</w:t>
            </w:r>
          </w:p>
          <w:p w14:paraId="20DD6CFF" w14:textId="0954AF52" w:rsidR="00A156E0" w:rsidRPr="00A156E0" w:rsidRDefault="00A156E0" w:rsidP="00A156E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71CC5" w14:paraId="140D744C" w14:textId="77777777" w:rsidTr="00AC1258">
        <w:trPr>
          <w:trHeight w:val="590"/>
        </w:trPr>
        <w:tc>
          <w:tcPr>
            <w:tcW w:w="1621" w:type="dxa"/>
            <w:vMerge/>
            <w:shd w:val="clear" w:color="auto" w:fill="D9D9D9" w:themeFill="background1" w:themeFillShade="D9"/>
          </w:tcPr>
          <w:p w14:paraId="522A1066" w14:textId="422FDFB6"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562014FD" w14:textId="27D21AEF"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14:paraId="32C3E781" w14:textId="717FFD29"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14:paraId="781F46A1" w14:textId="77777777"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14:paraId="20952086" w14:textId="1CC240EA"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14:paraId="6EF6B921" w14:textId="77777777" w:rsidTr="00CB3A12">
        <w:trPr>
          <w:trHeight w:val="740"/>
        </w:trPr>
        <w:tc>
          <w:tcPr>
            <w:tcW w:w="1621" w:type="dxa"/>
            <w:vMerge/>
          </w:tcPr>
          <w:p w14:paraId="63334340" w14:textId="77777777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  <w:vAlign w:val="center"/>
          </w:tcPr>
          <w:p w14:paraId="775EB517" w14:textId="15E255D0" w:rsidR="00063655" w:rsidRDefault="00FD6ED8" w:rsidP="00CB3A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Students need to know how to take away one part from a whole in a subtraction problem</w:t>
            </w:r>
          </w:p>
          <w:p w14:paraId="4EA10447" w14:textId="05C0A710" w:rsidR="00063655" w:rsidRDefault="00063655" w:rsidP="00CB3A12">
            <w:pPr>
              <w:pStyle w:val="TableParagraph"/>
              <w:jc w:val="center"/>
              <w:rPr>
                <w:rFonts w:ascii="Times New Roman"/>
              </w:rPr>
            </w:pPr>
          </w:p>
          <w:p w14:paraId="2FFC43D0" w14:textId="77777777" w:rsidR="00AB3B98" w:rsidRDefault="00AB3B98" w:rsidP="00CB3A12">
            <w:pPr>
              <w:pStyle w:val="TableParagraph"/>
              <w:jc w:val="center"/>
              <w:rPr>
                <w:rFonts w:ascii="Times New Roman"/>
              </w:rPr>
            </w:pPr>
          </w:p>
          <w:p w14:paraId="7BC24CAA" w14:textId="77777777" w:rsidR="00AB3B98" w:rsidRDefault="00AB3B98" w:rsidP="00CB3A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Number sense, math symbols, greater than, less than, equal</w:t>
            </w:r>
          </w:p>
          <w:p w14:paraId="4AD5B826" w14:textId="77777777" w:rsidR="00AB3B98" w:rsidRDefault="00AB3B98" w:rsidP="00CB3A12">
            <w:pPr>
              <w:pStyle w:val="TableParagraph"/>
              <w:jc w:val="center"/>
              <w:rPr>
                <w:rFonts w:ascii="Times New Roman"/>
              </w:rPr>
            </w:pPr>
          </w:p>
          <w:p w14:paraId="544FE5B3" w14:textId="77777777" w:rsidR="00063655" w:rsidRDefault="00063655" w:rsidP="00CB3A12">
            <w:pPr>
              <w:pStyle w:val="TableParagraph"/>
              <w:jc w:val="center"/>
              <w:rPr>
                <w:rFonts w:ascii="Times New Roman"/>
              </w:rPr>
            </w:pPr>
          </w:p>
          <w:p w14:paraId="7680CDFE" w14:textId="1F928DA0" w:rsidR="00063655" w:rsidRDefault="00063655" w:rsidP="00CB3A1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392" w:type="dxa"/>
          </w:tcPr>
          <w:p w14:paraId="0B84BD63" w14:textId="77777777" w:rsidR="00B71CC5" w:rsidRDefault="0084401D" w:rsidP="00CB3A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Students will represent and demonstrate taking away in a subtraction problem</w:t>
            </w:r>
          </w:p>
          <w:p w14:paraId="1BA1C371" w14:textId="77777777" w:rsidR="00AB3B98" w:rsidRDefault="00AB3B98" w:rsidP="00CB3A12">
            <w:pPr>
              <w:pStyle w:val="TableParagraph"/>
              <w:jc w:val="center"/>
              <w:rPr>
                <w:rFonts w:ascii="Times New Roman"/>
              </w:rPr>
            </w:pPr>
          </w:p>
          <w:p w14:paraId="1EE38DFD" w14:textId="77777777" w:rsidR="00AB3B98" w:rsidRDefault="00AB3B98" w:rsidP="00CB3A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Solve addition/subtraction problems within 20</w:t>
            </w:r>
          </w:p>
          <w:p w14:paraId="0312453C" w14:textId="1ACAF81B" w:rsidR="00AB3B98" w:rsidRDefault="00AB3B98" w:rsidP="00CB3A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Solve addition/subtraction word problems</w:t>
            </w:r>
          </w:p>
        </w:tc>
      </w:tr>
      <w:tr w:rsidR="00D76ACB" w14:paraId="7FC3D726" w14:textId="77777777" w:rsidTr="00996BCE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198B13C6"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(Can be </w:t>
            </w:r>
            <w:r w:rsidR="00361FDC">
              <w:rPr>
                <w:color w:val="002060"/>
                <w:sz w:val="16"/>
              </w:rPr>
              <w:t xml:space="preserve">accessed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  <w:vAlign w:val="center"/>
          </w:tcPr>
          <w:p w14:paraId="33D50A34" w14:textId="6BE708B8" w:rsidR="0084401D" w:rsidRPr="00CB3A12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4"/>
                <w:szCs w:val="18"/>
              </w:rPr>
            </w:pPr>
            <w:r w:rsidRPr="00CB3A12">
              <w:rPr>
                <w:rStyle w:val="normaltextrun"/>
                <w:iCs/>
                <w:sz w:val="20"/>
              </w:rPr>
              <w:t>How can addition equations be used to show “add to” addition situations?</w:t>
            </w:r>
          </w:p>
          <w:p w14:paraId="0EF53A98" w14:textId="19467CEC" w:rsidR="0084401D" w:rsidRPr="00CB3A12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4"/>
                <w:szCs w:val="18"/>
              </w:rPr>
            </w:pPr>
            <w:r w:rsidRPr="00CB3A12">
              <w:rPr>
                <w:rStyle w:val="normaltextrun"/>
                <w:iCs/>
                <w:sz w:val="20"/>
              </w:rPr>
              <w:t>How can addition equations be used to show situations in which two parts are put together?</w:t>
            </w:r>
          </w:p>
          <w:p w14:paraId="70D59A8E" w14:textId="403329CC" w:rsidR="0084401D" w:rsidRPr="00CB3A12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4"/>
                <w:szCs w:val="18"/>
              </w:rPr>
            </w:pPr>
            <w:r w:rsidRPr="00CB3A12">
              <w:rPr>
                <w:rStyle w:val="normaltextrun"/>
                <w:iCs/>
                <w:sz w:val="20"/>
              </w:rPr>
              <w:t>How can addition equations be used to show addition situation in which both parts are unknown?</w:t>
            </w:r>
          </w:p>
          <w:p w14:paraId="4D972269" w14:textId="05D75C91" w:rsidR="0084401D" w:rsidRPr="00CB3A12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4"/>
                <w:szCs w:val="18"/>
              </w:rPr>
            </w:pPr>
            <w:r w:rsidRPr="00CB3A12">
              <w:rPr>
                <w:rStyle w:val="normaltextrun"/>
                <w:iCs/>
                <w:sz w:val="20"/>
              </w:rPr>
              <w:t>How can subtraction equations be used to show subtraction situations in which one part can be taken away from the whole?</w:t>
            </w:r>
          </w:p>
          <w:p w14:paraId="3A0FF47B" w14:textId="3206D7E8" w:rsidR="0084401D" w:rsidRPr="00CB3A12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4"/>
                <w:szCs w:val="18"/>
              </w:rPr>
            </w:pPr>
            <w:r w:rsidRPr="00CB3A12">
              <w:rPr>
                <w:rStyle w:val="normaltextrun"/>
                <w:iCs/>
                <w:sz w:val="20"/>
              </w:rPr>
              <w:t>How can subtraction equations be used to show situations in which two quantities are compared?</w:t>
            </w:r>
          </w:p>
          <w:p w14:paraId="218ED666" w14:textId="778B2EBF" w:rsidR="00FC4338" w:rsidRDefault="00FC4338" w:rsidP="00CB3A12">
            <w:pPr>
              <w:pStyle w:val="TableParagraph"/>
            </w:pPr>
          </w:p>
        </w:tc>
      </w:tr>
      <w:tr w:rsidR="00F85F0C" w14:paraId="7B4446B0" w14:textId="77777777" w:rsidTr="00996BCE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48B1CDB7" w14:textId="0BAE5C81"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vAlign w:val="center"/>
          </w:tcPr>
          <w:tbl>
            <w:tblPr>
              <w:tblStyle w:val="TableGrid"/>
              <w:tblW w:w="25528" w:type="dxa"/>
              <w:tblLayout w:type="fixed"/>
              <w:tblLook w:val="04A0" w:firstRow="1" w:lastRow="0" w:firstColumn="1" w:lastColumn="0" w:noHBand="0" w:noVBand="1"/>
            </w:tblPr>
            <w:tblGrid>
              <w:gridCol w:w="12764"/>
              <w:gridCol w:w="12764"/>
            </w:tblGrid>
            <w:tr w:rsidR="00E76EB1" w:rsidRPr="008457F7" w14:paraId="539D48A2" w14:textId="2DE5A752" w:rsidTr="00E76EB1">
              <w:tc>
                <w:tcPr>
                  <w:tcW w:w="12764" w:type="dxa"/>
                  <w:vMerge w:val="restart"/>
                  <w:vAlign w:val="center"/>
                </w:tcPr>
                <w:p w14:paraId="5A784934" w14:textId="1CDBFD7A" w:rsidR="00E76EB1" w:rsidRPr="008457F7" w:rsidRDefault="00BF1E93" w:rsidP="00E76EB1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More, Fewer, Addend</w:t>
                  </w:r>
                </w:p>
              </w:tc>
              <w:tc>
                <w:tcPr>
                  <w:tcW w:w="12764" w:type="dxa"/>
                </w:tcPr>
                <w:p w14:paraId="5E50B3F4" w14:textId="77777777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76EB1" w:rsidRPr="008457F7" w14:paraId="77207EEF" w14:textId="59147633" w:rsidTr="00E76EB1">
              <w:tc>
                <w:tcPr>
                  <w:tcW w:w="12764" w:type="dxa"/>
                  <w:vMerge/>
                </w:tcPr>
                <w:p w14:paraId="53F8494A" w14:textId="57BCB540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2764" w:type="dxa"/>
                </w:tcPr>
                <w:p w14:paraId="01076536" w14:textId="77777777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76EB1" w:rsidRPr="008457F7" w14:paraId="431670C1" w14:textId="13C28490" w:rsidTr="00E76EB1">
              <w:tc>
                <w:tcPr>
                  <w:tcW w:w="12764" w:type="dxa"/>
                  <w:vMerge/>
                </w:tcPr>
                <w:p w14:paraId="34B29BF9" w14:textId="38EBACE6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2764" w:type="dxa"/>
                </w:tcPr>
                <w:p w14:paraId="286447C8" w14:textId="77777777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76EB1" w:rsidRPr="008457F7" w14:paraId="7A5FBE02" w14:textId="2A227CDE" w:rsidTr="00E76EB1">
              <w:tc>
                <w:tcPr>
                  <w:tcW w:w="12764" w:type="dxa"/>
                  <w:vMerge/>
                </w:tcPr>
                <w:p w14:paraId="4EF07906" w14:textId="655BF900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2764" w:type="dxa"/>
                </w:tcPr>
                <w:p w14:paraId="081D0B22" w14:textId="77777777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E76EB1" w:rsidRPr="00996BCE" w14:paraId="6C5B01D4" w14:textId="5D40D534" w:rsidTr="00E76EB1">
              <w:tc>
                <w:tcPr>
                  <w:tcW w:w="12764" w:type="dxa"/>
                  <w:vMerge/>
                </w:tcPr>
                <w:p w14:paraId="460942F8" w14:textId="7ED6496D" w:rsidR="00E76EB1" w:rsidRPr="00996BCE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12764" w:type="dxa"/>
                </w:tcPr>
                <w:p w14:paraId="1B4016C7" w14:textId="77777777" w:rsidR="00E76EB1" w:rsidRPr="008457F7" w:rsidRDefault="00E76EB1" w:rsidP="00690088">
                  <w:pPr>
                    <w:pStyle w:val="TableParagraph"/>
                    <w:jc w:val="center"/>
                    <w:rPr>
                      <w:rFonts w:ascii="Times New Roman"/>
                      <w:sz w:val="24"/>
                    </w:rPr>
                  </w:pPr>
                </w:p>
              </w:tc>
            </w:tr>
          </w:tbl>
          <w:p w14:paraId="196CBABB" w14:textId="04FC348A" w:rsidR="00FC4338" w:rsidRPr="00996BCE" w:rsidRDefault="00FC4338" w:rsidP="008457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76ACB" w14:paraId="3F76BA4F" w14:textId="77777777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37233847" w14:textId="3B1F7337"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>Summative 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14:paraId="5D32DFBF" w14:textId="4D3C3F9E"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14DB5F5A"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14:paraId="7E57FC59" w14:textId="77777777" w:rsidTr="00996BCE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vAlign w:val="center"/>
          </w:tcPr>
          <w:p w14:paraId="48DF4778" w14:textId="77777777" w:rsidR="00D76ACB" w:rsidRDefault="00D76ACB" w:rsidP="00996B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4EA383A" w14:textId="6907AB77" w:rsidR="0084401D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Think-Pair-Share</w:t>
            </w:r>
          </w:p>
          <w:p w14:paraId="787BD86B" w14:textId="6649E7EB" w:rsidR="0084401D" w:rsidRDefault="0084401D" w:rsidP="00996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Do Now</w:t>
            </w:r>
          </w:p>
          <w:p w14:paraId="70D38656" w14:textId="244514C5" w:rsidR="00BA7DE0" w:rsidRDefault="008457F7" w:rsidP="00996BC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Independent Practice</w:t>
            </w:r>
          </w:p>
          <w:p w14:paraId="026534C1" w14:textId="77777777" w:rsidR="00BA7DE0" w:rsidRDefault="00BA7DE0" w:rsidP="00996B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EDA78C5" w14:textId="7DD57E8F" w:rsidR="00BA7DE0" w:rsidRDefault="00BA7DE0" w:rsidP="00996B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B92FE04" w14:textId="2B279053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29B33FA7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29B33FA7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6332C29A"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</w:t>
            </w:r>
            <w:r w:rsidR="00E85E27">
              <w:rPr>
                <w:b/>
                <w:bCs/>
                <w:i/>
                <w:color w:val="1F497D" w:themeColor="text2"/>
                <w:sz w:val="18"/>
              </w:rPr>
              <w:t>-”</w:t>
            </w:r>
            <w:r>
              <w:rPr>
                <w:i/>
                <w:color w:val="1F497D" w:themeColor="text2"/>
                <w:sz w:val="18"/>
              </w:rPr>
              <w:t>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4D85EAA2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r w:rsidR="00E85E27" w:rsidRPr="006F15AC">
              <w:rPr>
                <w:i/>
                <w:color w:val="1F497D" w:themeColor="text2"/>
                <w:sz w:val="18"/>
              </w:rPr>
              <w:t>a group of students is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4639136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</w:t>
            </w:r>
            <w:r w:rsidR="00E85E27">
              <w:rPr>
                <w:i/>
                <w:color w:val="002060"/>
                <w:sz w:val="18"/>
              </w:rPr>
              <w:t>applicable.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29B33FA7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FB42C87"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7E1D1646"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14:paraId="68F519CE" w14:textId="77777777" w:rsidTr="00DB63AA">
        <w:trPr>
          <w:trHeight w:val="460"/>
        </w:trPr>
        <w:tc>
          <w:tcPr>
            <w:tcW w:w="1330" w:type="dxa"/>
            <w:shd w:val="clear" w:color="auto" w:fill="BFBFBF" w:themeFill="background1" w:themeFillShade="BF"/>
          </w:tcPr>
          <w:p w14:paraId="270F13FC" w14:textId="77777777" w:rsidR="00E76EB1" w:rsidRPr="006942D3" w:rsidRDefault="00E76EB1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</w:rPr>
            </w:pPr>
            <w:r w:rsidRPr="006942D3"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</w:rPr>
              <w:t xml:space="preserve">Lesson 1 </w:t>
            </w:r>
          </w:p>
          <w:p w14:paraId="569D9E7C" w14:textId="0750249F" w:rsidR="00901005" w:rsidRPr="006942D3" w:rsidRDefault="00AF472E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</w:rPr>
            </w:pPr>
            <w:r w:rsidRPr="006942D3"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</w:rPr>
              <w:t>(9-3</w:t>
            </w:r>
            <w:r w:rsidR="00E76EB1" w:rsidRPr="006942D3"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</w:rPr>
              <w:t>-21</w:t>
            </w:r>
            <w:r w:rsidR="00901005" w:rsidRPr="006942D3"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</w:rPr>
              <w:t>)</w:t>
            </w:r>
          </w:p>
        </w:tc>
        <w:tc>
          <w:tcPr>
            <w:tcW w:w="2396" w:type="dxa"/>
            <w:shd w:val="clear" w:color="auto" w:fill="BFBFBF" w:themeFill="background1" w:themeFillShade="BF"/>
            <w:vAlign w:val="center"/>
          </w:tcPr>
          <w:p w14:paraId="08DBC2A6" w14:textId="77777777" w:rsidR="00AF472E" w:rsidRPr="006942D3" w:rsidRDefault="00AF472E" w:rsidP="00AF472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1-5 Solve Problems: Compare Situations</w:t>
            </w:r>
          </w:p>
          <w:p w14:paraId="71C71A5E" w14:textId="77777777" w:rsidR="00AF472E" w:rsidRPr="006942D3" w:rsidRDefault="00AF472E" w:rsidP="00AF472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</w:p>
          <w:p w14:paraId="7E4B6D99" w14:textId="77777777" w:rsidR="00AF472E" w:rsidRPr="006942D3" w:rsidRDefault="00AF472E" w:rsidP="00AF472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I can solve word problems that involve comparing.</w:t>
            </w:r>
          </w:p>
          <w:p w14:paraId="2EB884B0" w14:textId="77777777" w:rsidR="00AF472E" w:rsidRPr="006942D3" w:rsidRDefault="00AF472E" w:rsidP="00AF472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</w:p>
          <w:p w14:paraId="77C72262" w14:textId="77777777" w:rsidR="00AF472E" w:rsidRPr="006942D3" w:rsidRDefault="00AF472E" w:rsidP="00AF472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</w:p>
          <w:p w14:paraId="77D5D316" w14:textId="2D7F10A0" w:rsidR="00FC6516" w:rsidRPr="006942D3" w:rsidRDefault="00AF472E" w:rsidP="00AF472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p. 33-38</w:t>
            </w:r>
          </w:p>
        </w:tc>
        <w:tc>
          <w:tcPr>
            <w:tcW w:w="3524" w:type="dxa"/>
            <w:shd w:val="clear" w:color="auto" w:fill="BFBFBF" w:themeFill="background1" w:themeFillShade="BF"/>
            <w:vAlign w:val="center"/>
          </w:tcPr>
          <w:p w14:paraId="332CB30D" w14:textId="77777777" w:rsidR="00BF1E93" w:rsidRPr="006942D3" w:rsidRDefault="00BF1E93" w:rsidP="00BF1E93">
            <w:pPr>
              <w:ind w:left="135" w:right="570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</w:p>
          <w:p w14:paraId="63478CB5" w14:textId="77777777" w:rsidR="00BF1E93" w:rsidRPr="006942D3" w:rsidRDefault="00BF1E93" w:rsidP="00BF1E93">
            <w:pPr>
              <w:ind w:left="135" w:right="570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Solve subtraction problems that involve comparing to find how many fewer objects are in one group than another group.</w:t>
            </w:r>
          </w:p>
          <w:p w14:paraId="05AEA22E" w14:textId="77777777" w:rsidR="00BF1E93" w:rsidRPr="006942D3" w:rsidRDefault="00BF1E93" w:rsidP="00BF1E93">
            <w:pPr>
              <w:ind w:left="135" w:right="570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</w:p>
          <w:p w14:paraId="610FDD3D" w14:textId="5E15161F" w:rsidR="00BF1E93" w:rsidRPr="006942D3" w:rsidRDefault="00BF1E93" w:rsidP="00BF1E93">
            <w:pPr>
              <w:ind w:left="135" w:right="570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Comparing two groups to find how many fewer objec</w:t>
            </w:r>
            <w:r w:rsidR="00083B46"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ts are in one group than another group is one interpretation of subtraction. Subtraction equations can be used to show situations in which two groups are compared.</w:t>
            </w:r>
          </w:p>
        </w:tc>
        <w:tc>
          <w:tcPr>
            <w:tcW w:w="3667" w:type="dxa"/>
            <w:shd w:val="clear" w:color="auto" w:fill="BFBFBF" w:themeFill="background1" w:themeFillShade="BF"/>
            <w:vAlign w:val="center"/>
          </w:tcPr>
          <w:p w14:paraId="38A75CE1" w14:textId="17302937" w:rsidR="00901005" w:rsidRPr="006942D3" w:rsidRDefault="00901005" w:rsidP="00774D11">
            <w:pPr>
              <w:pStyle w:val="TableParagraph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07A2F6EA" w14:textId="7E11554D" w:rsidR="00901005" w:rsidRPr="006942D3" w:rsidRDefault="00E76EB1" w:rsidP="00996BC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Independent Practice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11E713F3" w14:textId="482C30A8" w:rsidR="00901005" w:rsidRPr="006942D3" w:rsidRDefault="00E76EB1" w:rsidP="00996BCE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</w:pPr>
            <w:r w:rsidRPr="006942D3">
              <w:rPr>
                <w:rFonts w:ascii="Times New Roman" w:hAnsi="Times New Roman" w:cs="Times New Roman"/>
                <w:color w:val="BFBFBF" w:themeColor="background1" w:themeShade="BF"/>
                <w:sz w:val="12"/>
                <w:szCs w:val="18"/>
              </w:rPr>
              <w:t>9/3/21</w:t>
            </w:r>
          </w:p>
        </w:tc>
      </w:tr>
      <w:tr w:rsidR="00BC564C" w14:paraId="5101EDA9" w14:textId="77777777" w:rsidTr="003621B1">
        <w:trPr>
          <w:trHeight w:val="460"/>
        </w:trPr>
        <w:tc>
          <w:tcPr>
            <w:tcW w:w="1330" w:type="dxa"/>
            <w:vAlign w:val="center"/>
          </w:tcPr>
          <w:p w14:paraId="511C3C8F" w14:textId="61C2D9FC" w:rsidR="00BC564C" w:rsidRPr="00BC564C" w:rsidRDefault="001C4B2A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Lesson 1</w:t>
            </w:r>
          </w:p>
          <w:p w14:paraId="434C0FE4" w14:textId="77777777" w:rsidR="00BC564C" w:rsidRPr="00BC564C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C56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2-1 Count on to add</w:t>
            </w:r>
          </w:p>
          <w:p w14:paraId="580A84C7" w14:textId="77777777" w:rsidR="00BC564C" w:rsidRPr="004F7C51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C51">
              <w:rPr>
                <w:rFonts w:ascii="Times New Roman" w:hAnsi="Times New Roman" w:cs="Times New Roman"/>
                <w:sz w:val="18"/>
                <w:szCs w:val="18"/>
              </w:rPr>
              <w:t>Pages 79-84</w:t>
            </w:r>
          </w:p>
          <w:p w14:paraId="0DD19BAD" w14:textId="011369FA" w:rsidR="00BC564C" w:rsidRDefault="004F7C51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(9-27</w:t>
            </w:r>
            <w:r w:rsidR="00BC564C" w:rsidRPr="004F7C51">
              <w:rPr>
                <w:rFonts w:ascii="Times New Roman" w:hAnsi="Times New Roman" w:cs="Times New Roman"/>
                <w:sz w:val="18"/>
                <w:szCs w:val="18"/>
              </w:rPr>
              <w:t>-21)</w:t>
            </w:r>
          </w:p>
        </w:tc>
        <w:tc>
          <w:tcPr>
            <w:tcW w:w="2396" w:type="dxa"/>
            <w:vAlign w:val="center"/>
          </w:tcPr>
          <w:p w14:paraId="49F0DF27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</w:p>
          <w:p w14:paraId="38ADB4B5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E0368" w14:textId="7AFA5FEA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I can add by counting on from a number</w:t>
            </w:r>
          </w:p>
        </w:tc>
        <w:tc>
          <w:tcPr>
            <w:tcW w:w="3524" w:type="dxa"/>
            <w:vAlign w:val="center"/>
          </w:tcPr>
          <w:p w14:paraId="76AD78D2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Live instruction on Addition and Subtraction Problems to 10 (Lesson1-6)</w:t>
            </w:r>
          </w:p>
          <w:p w14:paraId="78011416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 Savvasrealize.com (enVisionmath2.0)</w:t>
            </w:r>
          </w:p>
          <w:p w14:paraId="5C6C7D50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04080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 · Visual Learning</w:t>
            </w:r>
          </w:p>
          <w:p w14:paraId="74E57229" w14:textId="0F87518F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 · PDF Video</w:t>
            </w:r>
          </w:p>
        </w:tc>
        <w:tc>
          <w:tcPr>
            <w:tcW w:w="3667" w:type="dxa"/>
            <w:vAlign w:val="center"/>
          </w:tcPr>
          <w:p w14:paraId="28114AEE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Students will watch the following videos on Savvasreaize.com in addition to completing the assignments below (enVisionmath)</w:t>
            </w:r>
          </w:p>
          <w:p w14:paraId="3A745A76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996BE" w14:textId="1CBF3E15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 · Independent Practice Quick Check</w:t>
            </w:r>
          </w:p>
        </w:tc>
        <w:tc>
          <w:tcPr>
            <w:tcW w:w="2401" w:type="dxa"/>
            <w:vAlign w:val="center"/>
          </w:tcPr>
          <w:p w14:paraId="431B3312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</w:t>
            </w:r>
          </w:p>
          <w:p w14:paraId="04F8B6A4" w14:textId="05831A46" w:rsidR="00BC564C" w:rsidRPr="00A156E0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Exit Ticket</w:t>
            </w:r>
          </w:p>
        </w:tc>
        <w:tc>
          <w:tcPr>
            <w:tcW w:w="1075" w:type="dxa"/>
            <w:vAlign w:val="center"/>
          </w:tcPr>
          <w:p w14:paraId="54836D38" w14:textId="21A08711" w:rsidR="00BC564C" w:rsidRPr="00B80615" w:rsidRDefault="00326D15" w:rsidP="00996B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10-01-21</w:t>
            </w:r>
          </w:p>
        </w:tc>
      </w:tr>
      <w:tr w:rsidR="00BC564C" w14:paraId="09487CA7" w14:textId="77777777" w:rsidTr="003621B1">
        <w:trPr>
          <w:trHeight w:val="460"/>
        </w:trPr>
        <w:tc>
          <w:tcPr>
            <w:tcW w:w="1330" w:type="dxa"/>
            <w:vAlign w:val="center"/>
          </w:tcPr>
          <w:p w14:paraId="46AE68EA" w14:textId="1E268E83" w:rsidR="00BC564C" w:rsidRPr="00B80615" w:rsidRDefault="00BC564C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8061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Lesson </w:t>
            </w:r>
            <w:r w:rsidR="001C4B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  <w:p w14:paraId="2BFBC222" w14:textId="77777777" w:rsidR="00BC564C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53661E" w14:textId="77777777" w:rsidR="00BC564C" w:rsidRPr="001B4484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2-2 </w:t>
            </w:r>
            <w:r w:rsidRPr="001B4484">
              <w:rPr>
                <w:rFonts w:ascii="Times New Roman" w:hAnsi="Times New Roman" w:cs="Times New Roman"/>
                <w:sz w:val="18"/>
                <w:szCs w:val="18"/>
              </w:rPr>
              <w:t>Doubles</w:t>
            </w:r>
          </w:p>
          <w:p w14:paraId="3E818FF3" w14:textId="77777777" w:rsidR="00BC564C" w:rsidRPr="001B4484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484">
              <w:rPr>
                <w:rFonts w:ascii="Times New Roman" w:hAnsi="Times New Roman" w:cs="Times New Roman"/>
                <w:sz w:val="18"/>
                <w:szCs w:val="18"/>
              </w:rPr>
              <w:t>Pages 85-90</w:t>
            </w:r>
          </w:p>
          <w:p w14:paraId="0B7C2B48" w14:textId="77777777" w:rsidR="00BC564C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C1F5E" w14:textId="790CE2F2" w:rsidR="00BC564C" w:rsidRDefault="00BC564C" w:rsidP="00BC564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80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F7C51">
              <w:rPr>
                <w:rFonts w:ascii="Times New Roman" w:hAnsi="Times New Roman" w:cs="Times New Roman"/>
                <w:b/>
                <w:sz w:val="18"/>
                <w:szCs w:val="18"/>
              </w:rPr>
              <w:t>9-28</w:t>
            </w:r>
            <w:r w:rsidRPr="00B80615">
              <w:rPr>
                <w:rFonts w:ascii="Times New Roman" w:hAnsi="Times New Roman" w:cs="Times New Roman"/>
                <w:b/>
                <w:sz w:val="18"/>
                <w:szCs w:val="18"/>
              </w:rPr>
              <w:t>-21)</w:t>
            </w:r>
          </w:p>
        </w:tc>
        <w:tc>
          <w:tcPr>
            <w:tcW w:w="2396" w:type="dxa"/>
            <w:vAlign w:val="center"/>
          </w:tcPr>
          <w:p w14:paraId="1D9B83AD" w14:textId="77777777" w:rsidR="00BC564C" w:rsidRPr="00B80615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  <w:p w14:paraId="72175165" w14:textId="77777777" w:rsidR="00BC564C" w:rsidRPr="00B80615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C0429" w14:textId="039A8FD3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615">
              <w:rPr>
                <w:rFonts w:ascii="Times New Roman" w:hAnsi="Times New Roman" w:cs="Times New Roman"/>
                <w:sz w:val="18"/>
                <w:szCs w:val="18"/>
              </w:rPr>
              <w:t xml:space="preserve">I can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use doubles to solve problems.</w:t>
            </w:r>
          </w:p>
        </w:tc>
        <w:tc>
          <w:tcPr>
            <w:tcW w:w="3524" w:type="dxa"/>
            <w:vAlign w:val="center"/>
          </w:tcPr>
          <w:p w14:paraId="1479687C" w14:textId="77777777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Live instruction on Addition and Subtraction Problems to 10 (Lesson1-6)</w:t>
            </w:r>
          </w:p>
          <w:p w14:paraId="10AA0C41" w14:textId="77777777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Savvasrealize.com (enVisionmath2.0)</w:t>
            </w:r>
          </w:p>
          <w:p w14:paraId="66A4DDB9" w14:textId="77777777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AE051" w14:textId="77777777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Visual Learning</w:t>
            </w:r>
          </w:p>
          <w:p w14:paraId="49E85669" w14:textId="30DC62A9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PDF Video</w:t>
            </w:r>
          </w:p>
        </w:tc>
        <w:tc>
          <w:tcPr>
            <w:tcW w:w="3667" w:type="dxa"/>
            <w:vAlign w:val="center"/>
          </w:tcPr>
          <w:p w14:paraId="5AD595D7" w14:textId="77777777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Students will watch the following videos on Savvasreaize.com in addition to completing the assignments below (enVisionmath)</w:t>
            </w:r>
          </w:p>
          <w:p w14:paraId="4EE23318" w14:textId="77777777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7D8DA" w14:textId="56CEFF54" w:rsidR="00BC564C" w:rsidRPr="00CC3771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Independent Practice Quick Check</w:t>
            </w:r>
          </w:p>
        </w:tc>
        <w:tc>
          <w:tcPr>
            <w:tcW w:w="2401" w:type="dxa"/>
            <w:vAlign w:val="center"/>
          </w:tcPr>
          <w:p w14:paraId="6AB2992A" w14:textId="77777777" w:rsidR="00BC564C" w:rsidRPr="00BC564C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</w:t>
            </w:r>
          </w:p>
          <w:p w14:paraId="6C5713CF" w14:textId="60AAD5D2" w:rsidR="00BC564C" w:rsidRPr="00A156E0" w:rsidRDefault="00BC564C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Exit Ticket</w:t>
            </w:r>
          </w:p>
        </w:tc>
        <w:tc>
          <w:tcPr>
            <w:tcW w:w="1075" w:type="dxa"/>
            <w:vAlign w:val="center"/>
          </w:tcPr>
          <w:p w14:paraId="639FECB3" w14:textId="1FA79663" w:rsidR="00BC564C" w:rsidRPr="00B80615" w:rsidRDefault="00BC564C" w:rsidP="00996B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  <w:r w:rsidR="00326D15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</w:tr>
      <w:tr w:rsidR="00281CFA" w14:paraId="593939A4" w14:textId="77777777" w:rsidTr="003621B1">
        <w:trPr>
          <w:trHeight w:val="460"/>
        </w:trPr>
        <w:tc>
          <w:tcPr>
            <w:tcW w:w="1330" w:type="dxa"/>
            <w:vAlign w:val="center"/>
          </w:tcPr>
          <w:p w14:paraId="506AC048" w14:textId="5B2715ED" w:rsidR="00281CFA" w:rsidRPr="00B80615" w:rsidRDefault="00281CFA" w:rsidP="00281CF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8061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</w:p>
          <w:p w14:paraId="2A5F60C6" w14:textId="77777777" w:rsidR="00281CFA" w:rsidRDefault="00281CFA" w:rsidP="00281CF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E8AC13" w14:textId="77777777" w:rsidR="009161AD" w:rsidRDefault="009161AD" w:rsidP="00281CF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  <w:p w14:paraId="281064DF" w14:textId="60E644C2" w:rsidR="00281CFA" w:rsidRPr="001B4484" w:rsidRDefault="00281CFA" w:rsidP="00281CF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161AD" w:rsidRPr="009161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Near </w:t>
            </w:r>
            <w:r w:rsidRPr="001B4484">
              <w:rPr>
                <w:rFonts w:ascii="Times New Roman" w:hAnsi="Times New Roman" w:cs="Times New Roman"/>
                <w:sz w:val="18"/>
                <w:szCs w:val="18"/>
              </w:rPr>
              <w:t>Doubles</w:t>
            </w:r>
          </w:p>
          <w:p w14:paraId="17FA89CB" w14:textId="77777777" w:rsidR="00281CFA" w:rsidRPr="001B4484" w:rsidRDefault="00281CFA" w:rsidP="00281CF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Pages 85-90</w:t>
            </w:r>
          </w:p>
          <w:p w14:paraId="0184EEDE" w14:textId="77777777" w:rsidR="00281CFA" w:rsidRDefault="00281CFA" w:rsidP="00281CF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655C0" w14:textId="5FF77619" w:rsidR="00281CFA" w:rsidRPr="00B80615" w:rsidRDefault="00281CFA" w:rsidP="00281CF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80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F7C51">
              <w:rPr>
                <w:rFonts w:ascii="Times New Roman" w:hAnsi="Times New Roman" w:cs="Times New Roman"/>
                <w:b/>
                <w:sz w:val="18"/>
                <w:szCs w:val="18"/>
              </w:rPr>
              <w:t>-29</w:t>
            </w:r>
            <w:r w:rsidRPr="00B80615">
              <w:rPr>
                <w:rFonts w:ascii="Times New Roman" w:hAnsi="Times New Roman" w:cs="Times New Roman"/>
                <w:b/>
                <w:sz w:val="18"/>
                <w:szCs w:val="18"/>
              </w:rPr>
              <w:t>-21)</w:t>
            </w:r>
          </w:p>
        </w:tc>
        <w:tc>
          <w:tcPr>
            <w:tcW w:w="2396" w:type="dxa"/>
            <w:vAlign w:val="center"/>
          </w:tcPr>
          <w:p w14:paraId="596F448D" w14:textId="77777777" w:rsidR="00281CFA" w:rsidRDefault="00281CFA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2-3</w:t>
            </w:r>
          </w:p>
          <w:p w14:paraId="36150D40" w14:textId="77777777" w:rsidR="00281CFA" w:rsidRDefault="00281CFA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F9D49" w14:textId="77777777" w:rsidR="00281CFA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solve problems using</w:t>
            </w:r>
          </w:p>
          <w:p w14:paraId="39D47739" w14:textId="13D1A06C" w:rsidR="00281CFA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near double facts.</w:t>
            </w:r>
          </w:p>
        </w:tc>
        <w:tc>
          <w:tcPr>
            <w:tcW w:w="3524" w:type="dxa"/>
            <w:vAlign w:val="center"/>
          </w:tcPr>
          <w:p w14:paraId="3F986AC8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Live instruction on Addition and Subtraction Problems to 10 (Lesson1-6)</w:t>
            </w:r>
          </w:p>
          <w:p w14:paraId="55455D1C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Savvasrealize.com (enVisionmath2.0)</w:t>
            </w:r>
          </w:p>
          <w:p w14:paraId="6111EEEF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83905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Visual Learning</w:t>
            </w:r>
          </w:p>
          <w:p w14:paraId="26EEA2B2" w14:textId="3E802166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· PDF Video</w:t>
            </w:r>
          </w:p>
        </w:tc>
        <w:tc>
          <w:tcPr>
            <w:tcW w:w="3667" w:type="dxa"/>
            <w:vAlign w:val="center"/>
          </w:tcPr>
          <w:p w14:paraId="24ED5C84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Students will watch the following videos on Savvasreaize.com in addition to completing the assignments below (enVisionmath)</w:t>
            </w:r>
          </w:p>
          <w:p w14:paraId="4102F990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44A1A" w14:textId="2A2CD956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Independent Practice Quick Check</w:t>
            </w:r>
          </w:p>
        </w:tc>
        <w:tc>
          <w:tcPr>
            <w:tcW w:w="2401" w:type="dxa"/>
            <w:vAlign w:val="center"/>
          </w:tcPr>
          <w:p w14:paraId="78E10F43" w14:textId="77777777" w:rsidR="00281CFA" w:rsidRPr="00BC564C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</w:t>
            </w:r>
          </w:p>
          <w:p w14:paraId="6FFB8D33" w14:textId="6D1372AD" w:rsidR="00281CFA" w:rsidRPr="00BC564C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Exit Ticket</w:t>
            </w:r>
          </w:p>
        </w:tc>
        <w:tc>
          <w:tcPr>
            <w:tcW w:w="1075" w:type="dxa"/>
            <w:vAlign w:val="center"/>
          </w:tcPr>
          <w:p w14:paraId="2064E1DA" w14:textId="30BEB4D6" w:rsidR="00281CFA" w:rsidRDefault="00281CFA" w:rsidP="00996B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10/1/21</w:t>
            </w:r>
          </w:p>
        </w:tc>
      </w:tr>
      <w:tr w:rsidR="00281CFA" w14:paraId="2DC9A6DA" w14:textId="77777777" w:rsidTr="003621B1">
        <w:trPr>
          <w:trHeight w:val="460"/>
        </w:trPr>
        <w:tc>
          <w:tcPr>
            <w:tcW w:w="1330" w:type="dxa"/>
            <w:vAlign w:val="center"/>
          </w:tcPr>
          <w:p w14:paraId="2B3F78E7" w14:textId="77777777" w:rsidR="00281CFA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Lesson 4</w:t>
            </w:r>
          </w:p>
          <w:p w14:paraId="1F917A90" w14:textId="77777777" w:rsidR="008347C6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DDA3FDD" w14:textId="7BB0234F" w:rsidR="008347C6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C6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  <w:p w14:paraId="2F477ADF" w14:textId="1379031B" w:rsidR="008347C6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Facts with 5</w:t>
            </w:r>
          </w:p>
          <w:p w14:paraId="2478E2CD" w14:textId="6CBBAA3E" w:rsidR="008347C6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 a Ten-Frame</w:t>
            </w:r>
          </w:p>
          <w:p w14:paraId="767F0574" w14:textId="1242D66A" w:rsidR="004F7C51" w:rsidRPr="008347C6" w:rsidRDefault="004F7C51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(9-30-21)</w:t>
            </w:r>
          </w:p>
          <w:p w14:paraId="4AF4B7A0" w14:textId="0B4FD474" w:rsidR="008347C6" w:rsidRPr="00B80615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6" w:type="dxa"/>
            <w:vAlign w:val="center"/>
          </w:tcPr>
          <w:p w14:paraId="20A4D988" w14:textId="77777777" w:rsidR="00281CFA" w:rsidRDefault="008347C6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  <w:p w14:paraId="74FE68F6" w14:textId="77777777" w:rsidR="008347C6" w:rsidRDefault="008347C6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563CC" w14:textId="71B0B41F" w:rsidR="008347C6" w:rsidRDefault="008347C6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use a ten-frame to help solve addition facts with 5 and 10.</w:t>
            </w:r>
          </w:p>
        </w:tc>
        <w:tc>
          <w:tcPr>
            <w:tcW w:w="3524" w:type="dxa"/>
            <w:vAlign w:val="center"/>
          </w:tcPr>
          <w:p w14:paraId="6584AD7F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Live instruction on Addition and Subtraction Problems to 10 (Lesson1-6)</w:t>
            </w:r>
          </w:p>
          <w:p w14:paraId="2E00C17F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Savvasrealize.com (enVisionmath2.0)</w:t>
            </w:r>
          </w:p>
          <w:p w14:paraId="6E0BEF3D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5E9A6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Visual Learning</w:t>
            </w:r>
          </w:p>
          <w:p w14:paraId="00424774" w14:textId="41417420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PDF Video</w:t>
            </w:r>
          </w:p>
        </w:tc>
        <w:tc>
          <w:tcPr>
            <w:tcW w:w="3667" w:type="dxa"/>
            <w:vAlign w:val="center"/>
          </w:tcPr>
          <w:p w14:paraId="0E7F0ECF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Students will watch the following videos on Savvasreaize.com in addition to completing the assignments below (enVisionmath)</w:t>
            </w:r>
          </w:p>
          <w:p w14:paraId="3B67C23D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BE56A" w14:textId="169369FE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Independent Practice Quick Check</w:t>
            </w:r>
          </w:p>
        </w:tc>
        <w:tc>
          <w:tcPr>
            <w:tcW w:w="2401" w:type="dxa"/>
            <w:vAlign w:val="center"/>
          </w:tcPr>
          <w:p w14:paraId="25725E13" w14:textId="77777777" w:rsidR="00281CFA" w:rsidRPr="00BC564C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</w:t>
            </w:r>
          </w:p>
          <w:p w14:paraId="085CD6CC" w14:textId="2F8FCB42" w:rsidR="00281CFA" w:rsidRPr="00BC564C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Exit Ticket</w:t>
            </w:r>
          </w:p>
        </w:tc>
        <w:tc>
          <w:tcPr>
            <w:tcW w:w="1075" w:type="dxa"/>
            <w:vAlign w:val="center"/>
          </w:tcPr>
          <w:p w14:paraId="6CA9164E" w14:textId="2A3B2D0C" w:rsidR="00281CFA" w:rsidRDefault="00281CFA" w:rsidP="00996B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10/1/21</w:t>
            </w:r>
          </w:p>
        </w:tc>
      </w:tr>
      <w:tr w:rsidR="00281CFA" w14:paraId="38947E6F" w14:textId="77777777" w:rsidTr="003621B1">
        <w:trPr>
          <w:trHeight w:val="460"/>
        </w:trPr>
        <w:tc>
          <w:tcPr>
            <w:tcW w:w="1330" w:type="dxa"/>
            <w:vAlign w:val="center"/>
          </w:tcPr>
          <w:p w14:paraId="4521BC86" w14:textId="77777777" w:rsidR="00281CFA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Lesson 5</w:t>
            </w:r>
          </w:p>
          <w:p w14:paraId="4E2343B4" w14:textId="77777777" w:rsidR="008347C6" w:rsidRDefault="008347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7B637EB" w14:textId="77777777" w:rsidR="008347C6" w:rsidRDefault="00FF16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  <w:p w14:paraId="1A0D1948" w14:textId="77777777" w:rsidR="00FF16C6" w:rsidRDefault="00FF16C6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 in Any Order</w:t>
            </w:r>
          </w:p>
          <w:p w14:paraId="22212411" w14:textId="1A094F38" w:rsidR="004F7C51" w:rsidRPr="008347C6" w:rsidRDefault="004F7C51" w:rsidP="001C4B2A">
            <w:pPr>
              <w:pStyle w:val="TableParagraph"/>
              <w:spacing w:before="2" w:line="230" w:lineRule="atLeast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(10-1-21)</w:t>
            </w:r>
          </w:p>
        </w:tc>
        <w:tc>
          <w:tcPr>
            <w:tcW w:w="2396" w:type="dxa"/>
            <w:vAlign w:val="center"/>
          </w:tcPr>
          <w:p w14:paraId="5DEACB93" w14:textId="77777777" w:rsidR="00281CFA" w:rsidRDefault="00FF16C6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  <w:p w14:paraId="737355D9" w14:textId="77777777" w:rsidR="00FF16C6" w:rsidRDefault="00FF16C6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15B97" w14:textId="0E436303" w:rsidR="00FF16C6" w:rsidRDefault="00FF16C6" w:rsidP="00BC56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use the same addeneds to write two different equations with the same sum.</w:t>
            </w:r>
          </w:p>
        </w:tc>
        <w:tc>
          <w:tcPr>
            <w:tcW w:w="3524" w:type="dxa"/>
            <w:vAlign w:val="center"/>
          </w:tcPr>
          <w:p w14:paraId="2F63E9A7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Live instruction on Addition and Subtraction Problems to 10 (Lesson1-6)</w:t>
            </w:r>
          </w:p>
          <w:p w14:paraId="27078668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Savvasrealize.com (enVisionmath2.0)</w:t>
            </w:r>
          </w:p>
          <w:p w14:paraId="66BC1C58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850A2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Visual Learning</w:t>
            </w:r>
          </w:p>
          <w:p w14:paraId="53D3B1A1" w14:textId="435A2993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PDF Video</w:t>
            </w:r>
          </w:p>
        </w:tc>
        <w:tc>
          <w:tcPr>
            <w:tcW w:w="3667" w:type="dxa"/>
            <w:vAlign w:val="center"/>
          </w:tcPr>
          <w:p w14:paraId="1BC00073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>Students will watch the following videos on Savvasreaize.com in addition to completing the assignments below (enVisionmath)</w:t>
            </w:r>
          </w:p>
          <w:p w14:paraId="2FDDF6F9" w14:textId="77777777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25E67" w14:textId="715874F6" w:rsidR="00281CFA" w:rsidRPr="00CC3771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771">
              <w:rPr>
                <w:rFonts w:ascii="Times New Roman" w:hAnsi="Times New Roman" w:cs="Times New Roman"/>
                <w:sz w:val="18"/>
                <w:szCs w:val="18"/>
              </w:rPr>
              <w:t xml:space="preserve"> · Independent Practice Quick Check</w:t>
            </w:r>
          </w:p>
        </w:tc>
        <w:tc>
          <w:tcPr>
            <w:tcW w:w="2401" w:type="dxa"/>
            <w:vAlign w:val="center"/>
          </w:tcPr>
          <w:p w14:paraId="4365FA89" w14:textId="77777777" w:rsidR="00281CFA" w:rsidRPr="00BC564C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</w:t>
            </w:r>
          </w:p>
          <w:p w14:paraId="21FC8B5B" w14:textId="3A4925BF" w:rsidR="00281CFA" w:rsidRPr="00BC564C" w:rsidRDefault="00281CFA" w:rsidP="00281C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C">
              <w:rPr>
                <w:rFonts w:ascii="Times New Roman" w:hAnsi="Times New Roman" w:cs="Times New Roman"/>
                <w:sz w:val="18"/>
                <w:szCs w:val="18"/>
              </w:rPr>
              <w:t>Exit Ticket</w:t>
            </w:r>
          </w:p>
        </w:tc>
        <w:tc>
          <w:tcPr>
            <w:tcW w:w="1075" w:type="dxa"/>
            <w:vAlign w:val="center"/>
          </w:tcPr>
          <w:p w14:paraId="707AF84C" w14:textId="4F80CB72" w:rsidR="00281CFA" w:rsidRDefault="00281CFA" w:rsidP="00996B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10/1/21</w:t>
            </w:r>
          </w:p>
        </w:tc>
      </w:tr>
    </w:tbl>
    <w:p w14:paraId="09FCBE90" w14:textId="565B0701" w:rsidR="00D76ACB" w:rsidRDefault="00D76ACB">
      <w:pPr>
        <w:spacing w:before="5" w:after="1"/>
        <w:rPr>
          <w:sz w:val="20"/>
        </w:rPr>
      </w:pPr>
    </w:p>
    <w:p w14:paraId="7D2890AB" w14:textId="76BF763C" w:rsidR="00357407" w:rsidRDefault="00357407">
      <w:pPr>
        <w:spacing w:before="5" w:after="1"/>
        <w:rPr>
          <w:sz w:val="20"/>
        </w:rPr>
      </w:pPr>
    </w:p>
    <w:p w14:paraId="2A27D93A" w14:textId="77777777" w:rsidR="00357407" w:rsidRDefault="00357407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54A03495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Please note specific Learning Targets of focus and what resources are being used or provided to support students at each level</w:t>
            </w:r>
            <w:r w:rsidR="0043543F">
              <w:rPr>
                <w:i/>
                <w:sz w:val="20"/>
              </w:rPr>
              <w:t>.</w:t>
            </w:r>
          </w:p>
        </w:tc>
      </w:tr>
      <w:tr w:rsidR="00D76ACB" w14:paraId="4045E775" w14:textId="77777777" w:rsidTr="29B33FA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7E3208" w14:paraId="5DC76FC1" w14:textId="77777777" w:rsidTr="29B33FA7">
        <w:trPr>
          <w:trHeight w:val="674"/>
        </w:trPr>
        <w:tc>
          <w:tcPr>
            <w:tcW w:w="4442" w:type="dxa"/>
          </w:tcPr>
          <w:p w14:paraId="250E437E" w14:textId="77777777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Number sense intervention/one-one correspondence</w:t>
            </w:r>
          </w:p>
          <w:p w14:paraId="54CD53C9" w14:textId="2F3FF697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Connecting cubes/counters</w:t>
            </w:r>
          </w:p>
        </w:tc>
        <w:tc>
          <w:tcPr>
            <w:tcW w:w="4802" w:type="dxa"/>
          </w:tcPr>
          <w:p w14:paraId="43E3D313" w14:textId="77777777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Manipulatives</w:t>
            </w:r>
          </w:p>
          <w:p w14:paraId="64142F84" w14:textId="1625600A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Small group mini-lesson</w:t>
            </w:r>
          </w:p>
        </w:tc>
        <w:tc>
          <w:tcPr>
            <w:tcW w:w="5163" w:type="dxa"/>
          </w:tcPr>
          <w:p w14:paraId="32E214D5" w14:textId="77777777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Higher order thinking problems in lesson 1-2</w:t>
            </w:r>
          </w:p>
          <w:p w14:paraId="264607DF" w14:textId="77777777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IXL aligned problems</w:t>
            </w:r>
          </w:p>
          <w:p w14:paraId="67A8BD57" w14:textId="77777777" w:rsidR="007E3208" w:rsidRDefault="007E3208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9DAEEE7">
              <w:rPr>
                <w:rFonts w:ascii="Times New Roman"/>
                <w:sz w:val="18"/>
                <w:szCs w:val="18"/>
              </w:rPr>
              <w:t>Freckle Math challenge problems</w:t>
            </w:r>
          </w:p>
          <w:p w14:paraId="756FD190" w14:textId="30DDC4F0" w:rsidR="007E3208" w:rsidRDefault="00E76EB1" w:rsidP="007E32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Nearpod</w:t>
            </w:r>
          </w:p>
        </w:tc>
      </w:tr>
    </w:tbl>
    <w:p w14:paraId="2570D253" w14:textId="60411F53" w:rsidR="002A346F" w:rsidRDefault="002A346F" w:rsidP="00667BFE"/>
    <w:sectPr w:rsidR="002A346F" w:rsidSect="00FC4338">
      <w:footerReference w:type="default" r:id="rId13"/>
      <w:pgSz w:w="15840" w:h="12240" w:orient="landscape"/>
      <w:pgMar w:top="27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D9C8C" w14:textId="77777777" w:rsidR="00CA56D7" w:rsidRDefault="00CA56D7" w:rsidP="000B4D9C">
      <w:r>
        <w:separator/>
      </w:r>
    </w:p>
  </w:endnote>
  <w:endnote w:type="continuationSeparator" w:id="0">
    <w:p w14:paraId="7E46B4CA" w14:textId="77777777" w:rsidR="00CA56D7" w:rsidRDefault="00CA56D7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18E46" w14:textId="593A2384"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8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8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BF4FC" w14:textId="77777777"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6D7E" w14:textId="77777777" w:rsidR="00CA56D7" w:rsidRDefault="00CA56D7" w:rsidP="000B4D9C">
      <w:r>
        <w:separator/>
      </w:r>
    </w:p>
  </w:footnote>
  <w:footnote w:type="continuationSeparator" w:id="0">
    <w:p w14:paraId="7FF4A5C2" w14:textId="77777777" w:rsidR="00CA56D7" w:rsidRDefault="00CA56D7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1EC"/>
    <w:multiLevelType w:val="multilevel"/>
    <w:tmpl w:val="D136AF8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B3534"/>
    <w:multiLevelType w:val="hybridMultilevel"/>
    <w:tmpl w:val="B4A49CBA"/>
    <w:lvl w:ilvl="0" w:tplc="1F86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035A1"/>
    <w:multiLevelType w:val="multilevel"/>
    <w:tmpl w:val="19F2A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D76ACB"/>
    <w:rsid w:val="000245E8"/>
    <w:rsid w:val="00036231"/>
    <w:rsid w:val="000462EB"/>
    <w:rsid w:val="00063655"/>
    <w:rsid w:val="00083B46"/>
    <w:rsid w:val="00095AAC"/>
    <w:rsid w:val="000A6CD6"/>
    <w:rsid w:val="000B4D9C"/>
    <w:rsid w:val="00100887"/>
    <w:rsid w:val="001152A3"/>
    <w:rsid w:val="0014098B"/>
    <w:rsid w:val="00156F51"/>
    <w:rsid w:val="00157A49"/>
    <w:rsid w:val="00166B7C"/>
    <w:rsid w:val="00173765"/>
    <w:rsid w:val="0018430B"/>
    <w:rsid w:val="001C4B2A"/>
    <w:rsid w:val="001C50DC"/>
    <w:rsid w:val="001D6FFB"/>
    <w:rsid w:val="001F21B1"/>
    <w:rsid w:val="0020469F"/>
    <w:rsid w:val="00281CFA"/>
    <w:rsid w:val="00284BA3"/>
    <w:rsid w:val="00290D59"/>
    <w:rsid w:val="002A346F"/>
    <w:rsid w:val="002C6A6F"/>
    <w:rsid w:val="00301358"/>
    <w:rsid w:val="00307692"/>
    <w:rsid w:val="00326D15"/>
    <w:rsid w:val="00333B12"/>
    <w:rsid w:val="00357407"/>
    <w:rsid w:val="00361FDC"/>
    <w:rsid w:val="003621B1"/>
    <w:rsid w:val="00364A46"/>
    <w:rsid w:val="003761C8"/>
    <w:rsid w:val="00381A9F"/>
    <w:rsid w:val="0038338A"/>
    <w:rsid w:val="003E0757"/>
    <w:rsid w:val="00413D43"/>
    <w:rsid w:val="004255ED"/>
    <w:rsid w:val="00432FF3"/>
    <w:rsid w:val="0043543F"/>
    <w:rsid w:val="004445BE"/>
    <w:rsid w:val="00445FDC"/>
    <w:rsid w:val="00456858"/>
    <w:rsid w:val="004776E0"/>
    <w:rsid w:val="004A407E"/>
    <w:rsid w:val="004C40D4"/>
    <w:rsid w:val="004F7C51"/>
    <w:rsid w:val="00604DA2"/>
    <w:rsid w:val="00633BC3"/>
    <w:rsid w:val="00647F09"/>
    <w:rsid w:val="006620CE"/>
    <w:rsid w:val="00667BFE"/>
    <w:rsid w:val="00682775"/>
    <w:rsid w:val="006942D3"/>
    <w:rsid w:val="006B2B0D"/>
    <w:rsid w:val="006E78A2"/>
    <w:rsid w:val="006F15AC"/>
    <w:rsid w:val="007010B9"/>
    <w:rsid w:val="00705BC3"/>
    <w:rsid w:val="007399E2"/>
    <w:rsid w:val="007430E8"/>
    <w:rsid w:val="00774D11"/>
    <w:rsid w:val="007E3208"/>
    <w:rsid w:val="008347C6"/>
    <w:rsid w:val="00835FF8"/>
    <w:rsid w:val="0084401D"/>
    <w:rsid w:val="008457F7"/>
    <w:rsid w:val="0085435A"/>
    <w:rsid w:val="008A6987"/>
    <w:rsid w:val="008B444C"/>
    <w:rsid w:val="00901005"/>
    <w:rsid w:val="009161AD"/>
    <w:rsid w:val="00993D34"/>
    <w:rsid w:val="00996BCE"/>
    <w:rsid w:val="009D723A"/>
    <w:rsid w:val="00A156E0"/>
    <w:rsid w:val="00AB3B98"/>
    <w:rsid w:val="00AF472E"/>
    <w:rsid w:val="00B1194E"/>
    <w:rsid w:val="00B71CC5"/>
    <w:rsid w:val="00B80615"/>
    <w:rsid w:val="00BA7DE0"/>
    <w:rsid w:val="00BC564C"/>
    <w:rsid w:val="00BD3FA4"/>
    <w:rsid w:val="00BF1E93"/>
    <w:rsid w:val="00CA56D7"/>
    <w:rsid w:val="00CB3A12"/>
    <w:rsid w:val="00CC3771"/>
    <w:rsid w:val="00D27741"/>
    <w:rsid w:val="00D76ACB"/>
    <w:rsid w:val="00D83F55"/>
    <w:rsid w:val="00DB63AA"/>
    <w:rsid w:val="00DF2602"/>
    <w:rsid w:val="00E15E3C"/>
    <w:rsid w:val="00E263B6"/>
    <w:rsid w:val="00E56903"/>
    <w:rsid w:val="00E76EB1"/>
    <w:rsid w:val="00E85E27"/>
    <w:rsid w:val="00E925DD"/>
    <w:rsid w:val="00F07E3C"/>
    <w:rsid w:val="00F63747"/>
    <w:rsid w:val="00F72829"/>
    <w:rsid w:val="00F83F3F"/>
    <w:rsid w:val="00F85F0C"/>
    <w:rsid w:val="00FC4338"/>
    <w:rsid w:val="00FC6516"/>
    <w:rsid w:val="00FC739D"/>
    <w:rsid w:val="00FD113C"/>
    <w:rsid w:val="00FD1749"/>
    <w:rsid w:val="00FD6ED8"/>
    <w:rsid w:val="00FF16C6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A6A22"/>
    <w:rsid w:val="09754413"/>
    <w:rsid w:val="0A73F921"/>
    <w:rsid w:val="0A88AC17"/>
    <w:rsid w:val="0A8C4D5D"/>
    <w:rsid w:val="0A9D7872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A5990B1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62955A"/>
    <w:rsid w:val="40A19C10"/>
    <w:rsid w:val="40AB9D25"/>
    <w:rsid w:val="40AE189D"/>
    <w:rsid w:val="412D328A"/>
    <w:rsid w:val="4175B9F2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0BC0A54D-F77C-45BC-ADD5-1A02DDA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  <w:style w:type="paragraph" w:customStyle="1" w:styleId="paragraph">
    <w:name w:val="paragraph"/>
    <w:basedOn w:val="Normal"/>
    <w:rsid w:val="008440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84401D"/>
  </w:style>
  <w:style w:type="character" w:customStyle="1" w:styleId="eop">
    <w:name w:val="eop"/>
    <w:basedOn w:val="DefaultParagraphFont"/>
    <w:rsid w:val="0084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st.org/impact/universal-design-for-learning-ud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4" ma:contentTypeDescription="Create a new document." ma:contentTypeScope="" ma:versionID="24b9ab6ce0dcf10b3533ab3708d7c595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f444aab84c705f7c0e8394dedc0bdc97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09F35-019C-4BFE-A159-A5B97F82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CCEAF-4BDE-4776-98C6-FC6CFE3F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Howell, Christy M.</cp:lastModifiedBy>
  <cp:revision>2</cp:revision>
  <cp:lastPrinted>2021-09-01T10:48:00Z</cp:lastPrinted>
  <dcterms:created xsi:type="dcterms:W3CDTF">2021-09-28T13:20:00Z</dcterms:created>
  <dcterms:modified xsi:type="dcterms:W3CDTF">2021-09-28T13:20:00Z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0x0101008B434CA700894949BD376CB0F282B75A</vt:lpwstr>
  </property>
</Properties>
</file>